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71" w:rsidRPr="00941271" w:rsidRDefault="00941271" w:rsidP="0094127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國家中山科學研究院法律</w:t>
      </w:r>
      <w:r w:rsidRPr="00941271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事務室</w:t>
      </w:r>
    </w:p>
    <w:p w:rsidR="00941271" w:rsidRPr="00DF6C0D" w:rsidRDefault="00941271" w:rsidP="0094127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Pr="00941271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8</w:t>
      </w: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年專案人力進用招考</w:t>
      </w:r>
      <w:r w:rsidRPr="00941271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941271" w:rsidRPr="00941271" w:rsidRDefault="00941271" w:rsidP="00941271">
      <w:pPr>
        <w:pStyle w:val="a4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941271" w:rsidRPr="00941271" w:rsidRDefault="00941271" w:rsidP="00941271">
      <w:pPr>
        <w:pStyle w:val="a4"/>
        <w:spacing w:after="0" w:line="46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需求全時工作人員行政管理類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員，共計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法律</w:t>
      </w:r>
      <w:r>
        <w:rPr>
          <w:rFonts w:ascii="標楷體" w:eastAsia="標楷體" w:hAnsi="標楷體"/>
          <w:bCs/>
          <w:color w:val="000000" w:themeColor="text1"/>
          <w:sz w:val="32"/>
          <w:szCs w:val="32"/>
        </w:rPr>
        <w:t>事務室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108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年專案人力進用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招考員額需求表」辦理（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Pr="00941271">
        <w:rPr>
          <w:rFonts w:ascii="標楷體" w:eastAsia="標楷體" w:hAnsi="標楷體"/>
          <w:bCs/>
          <w:color w:val="000000" w:themeColor="text1"/>
          <w:sz w:val="32"/>
          <w:szCs w:val="32"/>
        </w:rPr>
        <w:t>1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941271" w:rsidRPr="00D807CF" w:rsidRDefault="00941271" w:rsidP="00D807CF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薪資：依本院新進人員薪資核敘基準表之薪資範圍內，核給基本薪。</w:t>
      </w:r>
    </w:p>
    <w:p w:rsidR="00941271" w:rsidRPr="00D807CF" w:rsidRDefault="00941271" w:rsidP="00D807CF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福利、待遇：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享勞保、健保及依勞工退休金條例第14條按月提繳退休金。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可申請員工宿舍。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因任務需要超時工作，依本院「員工工作規則」辦理。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詳細待遇及權利義務內容於本院「勞動契約」訂定之。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軍公教退伍(休)再任本院員工，薪資超過法令所訂基準(含主管加給、地域加給)，依法辦理。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公務人員退休人員再任本院員工，依「公務人員退休資遣撫</w:t>
      </w: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退休教職員再任本院員工，依「學校教職員退休條例及其施行細則」規定辦理。</w:t>
      </w:r>
    </w:p>
    <w:p w:rsidR="00941271" w:rsidRPr="00941271" w:rsidRDefault="00941271" w:rsidP="0094127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學、經歷：教育部評鑑合格之各大學院校相關系所畢業(持國外學歷者須符合教育部頒「大學辦理國外學歷</w:t>
      </w: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941271" w:rsidRPr="00941271" w:rsidRDefault="00941271" w:rsidP="00D807CF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碩士畢業。</w:t>
      </w:r>
    </w:p>
    <w:p w:rsidR="00941271" w:rsidRPr="00941271" w:rsidRDefault="00941271" w:rsidP="00D807CF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D807CF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D807CF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後三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個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月內，本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院始查覺者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，得取消錄取資格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思表示及舞弊者。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大陸地區、香港或澳門地區人士。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無行為能力或限制行為能力。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曾犯前款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因案被通緝或在羈押、管收中。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依法停止任用。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褫奪公權尚未復權。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受監護宣告尚未撤銷。</w:t>
      </w:r>
    </w:p>
    <w:p w:rsidR="00941271" w:rsidRPr="00D807CF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於本院服務</w:t>
      </w: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因有損本院行為，遭解僱或以不勝任人員資遣。</w:t>
      </w:r>
    </w:p>
    <w:p w:rsidR="00941271" w:rsidRPr="00D807CF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941271" w:rsidRPr="00941271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品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德、操守或</w:t>
      </w:r>
      <w:proofErr w:type="gramStart"/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941271" w:rsidRPr="00941271" w:rsidRDefault="00941271" w:rsidP="00941271">
      <w:pPr>
        <w:snapToGrid w:val="0"/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941271" w:rsidRPr="00941271" w:rsidRDefault="00941271" w:rsidP="00D807CF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甄試簡章及職缺需求刊登於本院全球資訊網(http://www.ncsist.org.tw)，公告報名至107年</w:t>
      </w:r>
      <w:r w:rsid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D807CF">
        <w:rPr>
          <w:rFonts w:ascii="標楷體" w:eastAsia="標楷體" w:hAnsi="標楷體"/>
          <w:color w:val="000000" w:themeColor="text1"/>
          <w:sz w:val="32"/>
          <w:szCs w:val="32"/>
        </w:rPr>
        <w:t>5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941271" w:rsidRPr="00941271" w:rsidRDefault="00941271" w:rsidP="00D807CF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符合報考資格者，需至本院網路徵才系統(https://join.ncsist.org.tw)填寫個人資料及上傳履歷表(貼妥照片，格式如附件</w:t>
      </w:r>
      <w:r w:rsidR="00D807CF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需求單位於本院徵才系統資料庫搜尋並篩選符合報考資格者後辦理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(資格審查)合格者，需求單位以電子郵件、書面或簡訊通知參加甄試。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不接受紙本及現場報名甄試。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不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繳交畢業證書掃描檔，但需繳交學生證掃描</w:t>
      </w:r>
      <w:proofErr w:type="gramStart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前述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人員錄取後，需於</w:t>
      </w:r>
      <w:proofErr w:type="gramStart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Pr="0094127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個月內(或報到時)繳驗畢業證書，若無法於時限內繳驗，則取消錄取資格。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941271" w:rsidRPr="00941271" w:rsidRDefault="005C1C1D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本次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人力進用不開放本院員工報名</w:t>
      </w:r>
      <w:r w:rsidR="0094127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各項資料依序</w:t>
      </w:r>
      <w:proofErr w:type="gramStart"/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檔案(PDF檔)上傳。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如附件</w:t>
      </w:r>
      <w:r w:rsidR="005C1C1D" w:rsidRPr="005C1C1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2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，並依誠信原則，確實填寫在本院服務之親屬及朋友關係，若未誠實填寫而錄取，本院則予不經預告終止契約解除聘僱。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符合報考學歷之畢業證書掃描檔。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報考所需之個人相關掃描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資料(如：工作經歷證明、證照、成績單或英文檢定成績等，請參考簡章之員額需求表)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提供工作經歷證明者，格式不限，但需由任職機構(單位)或雇主蓋章認可，內容需註明從事之工作內容或職稱及任職時間。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941271" w:rsidRPr="005C1C1D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具身心障礙身分者，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身心障礙手冊(證明)正、反面掃描檔。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具原住民族身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分者，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941271" w:rsidRPr="005C1C1D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甄試時間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：暫定10</w:t>
      </w:r>
      <w:r w:rsidR="005C1C1D" w:rsidRPr="005C1C1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8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5C1C1D"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1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月(實際甄試時間以甄試通知為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)。</w:t>
      </w:r>
    </w:p>
    <w:p w:rsidR="00941271" w:rsidRPr="005C1C1D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甄試地點：暫定桃園市龍潭區中科院新新院區(實際甄試地點以甄試通知為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)。</w:t>
      </w:r>
    </w:p>
    <w:p w:rsidR="00941271" w:rsidRPr="00941271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甄試方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式：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書面審查(配分請參考員額需求表)。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筆試(配分請參考員額需求表)。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口試(配分請參考員額需求表)。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項(書面審查/筆試/口試)成績合格標準請參閱員額需求表，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未達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格標準者不予錄取。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初、</w:t>
      </w:r>
      <w:proofErr w:type="gramStart"/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複</w:t>
      </w:r>
      <w:proofErr w:type="gramEnd"/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試口試合格標準為70分。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總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成績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合格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標準為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70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分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(滿分100分)。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如有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其中一項甄試項目缺考者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，不予計算總分，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不予錄取。</w:t>
      </w:r>
    </w:p>
    <w:p w:rsidR="00941271" w:rsidRPr="0094127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成績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排序：</w:t>
      </w:r>
    </w:p>
    <w:p w:rsidR="00941271" w:rsidRPr="00941271" w:rsidRDefault="00941271" w:rsidP="00F40FA1">
      <w:pPr>
        <w:pStyle w:val="a3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</w:t>
      </w:r>
      <w:r w:rsid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40FA1" w:rsidRP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941271" w:rsidRPr="00941271" w:rsidRDefault="00941271" w:rsidP="00F40FA1">
      <w:pPr>
        <w:pStyle w:val="a3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</w:t>
      </w:r>
      <w:r w:rsid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40FA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依序以筆試成績、口試平均成績、書面審查平均成績較高者為優先；遇所有成績均相同時，由單位決定錄取順序。</w:t>
      </w:r>
    </w:p>
    <w:p w:rsidR="00941271" w:rsidRPr="0094127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41271" w:rsidRPr="00941271" w:rsidRDefault="00941271" w:rsidP="00F40FA1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完成各階段甄試後合格但未錄取之應徵者得設為備取人員，並由單位依成績排定備取順序，依序備取，儲備期限自甄試結果奉院長核定次日起4個月內有效。</w:t>
      </w:r>
    </w:p>
    <w:p w:rsidR="00941271" w:rsidRPr="00941271" w:rsidRDefault="00941271" w:rsidP="00F40FA1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941271" w:rsidRPr="00941271" w:rsidRDefault="00941271" w:rsidP="009D234E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院於甄試後1個月內寄發通知單(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)，各職缺錄取情形不予公告。</w:t>
      </w:r>
    </w:p>
    <w:p w:rsidR="00941271" w:rsidRPr="00941271" w:rsidRDefault="00941271" w:rsidP="009D234E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</w:t>
      </w:r>
      <w:r w:rsidRPr="009D234E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941271" w:rsidRPr="00941271" w:rsidRDefault="00941271" w:rsidP="0094127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941271" w:rsidRPr="00941271" w:rsidRDefault="00941271" w:rsidP="00941271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9D234E" w:rsidRDefault="00941271" w:rsidP="009D234E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proofErr w:type="gramStart"/>
      <w:r w:rsid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亓</w:t>
      </w:r>
      <w:proofErr w:type="gramEnd"/>
      <w:r w:rsid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承</w:t>
      </w:r>
      <w:proofErr w:type="gramStart"/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濬</w:t>
      </w:r>
      <w:proofErr w:type="gramEnd"/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副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351</w:t>
      </w:r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064</w:t>
      </w:r>
    </w:p>
    <w:p w:rsidR="00941271" w:rsidRPr="009D234E" w:rsidRDefault="009D234E" w:rsidP="009D234E">
      <w:pPr>
        <w:snapToGrid w:val="0"/>
        <w:spacing w:line="460" w:lineRule="exact"/>
        <w:ind w:leftChars="300" w:left="720" w:firstLineChars="700" w:firstLine="2240"/>
        <w:jc w:val="both"/>
        <w:rPr>
          <w:rFonts w:ascii="標楷體" w:eastAsia="標楷體" w:hAnsi="標楷體"/>
          <w:color w:val="000000" w:themeColor="text1"/>
          <w:sz w:val="32"/>
          <w:szCs w:val="32"/>
        </w:rPr>
        <w:sectPr w:rsidR="00941271" w:rsidRPr="009D234E" w:rsidSect="009D234E">
          <w:footerReference w:type="default" r:id="rId7"/>
          <w:pgSz w:w="11906" w:h="16838"/>
          <w:pgMar w:top="1418" w:right="1416" w:bottom="1135" w:left="1418" w:header="567" w:footer="85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李佳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穎</w:t>
      </w:r>
      <w:r w:rsidR="0094127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94127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351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073</w:t>
      </w:r>
    </w:p>
    <w:p w:rsidR="00941271" w:rsidRPr="00D807CF" w:rsidRDefault="00941271" w:rsidP="00D807CF">
      <w:pPr>
        <w:spacing w:afterLines="50" w:after="180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D807CF" w:rsidRPr="00D807CF">
        <w:rPr>
          <w:rFonts w:ascii="標楷體" w:eastAsia="標楷體" w:hAnsi="標楷體"/>
          <w:color w:val="000000" w:themeColor="text1"/>
          <w:sz w:val="32"/>
          <w:szCs w:val="32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941271" w:rsidRPr="00DF6C0D" w:rsidTr="003F243A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271" w:rsidRPr="00DF6C0D" w:rsidRDefault="00941271" w:rsidP="00D807CF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國家中山科學研究院</w:t>
            </w:r>
            <w:r w:rsidR="00D807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法律</w:t>
            </w:r>
            <w:r w:rsidR="00D807C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事務室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D807C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年專案人力進用員額需求表</w:t>
            </w:r>
          </w:p>
        </w:tc>
      </w:tr>
      <w:tr w:rsidR="00941271" w:rsidRPr="00DF6C0D" w:rsidTr="003F243A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271" w:rsidRPr="00DF6C0D" w:rsidRDefault="00941271" w:rsidP="003F243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5C0169" w:rsidRPr="00DF6C0D" w:rsidTr="005C0169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169" w:rsidRPr="00DF6C0D" w:rsidRDefault="005C0169" w:rsidP="005C01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169" w:rsidRPr="00DF6C0D" w:rsidRDefault="005C0169" w:rsidP="005C016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行</w:t>
            </w:r>
            <w:r>
              <w:rPr>
                <w:rFonts w:ascii="標楷體" w:eastAsia="標楷體" w:hAnsi="標楷體"/>
                <w:color w:val="000000" w:themeColor="text1"/>
              </w:rPr>
              <w:t>政、管理類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169" w:rsidRPr="00DF6C0D" w:rsidRDefault="005C0169" w:rsidP="005C016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碩</w:t>
            </w:r>
            <w:r>
              <w:rPr>
                <w:rFonts w:ascii="標楷體" w:eastAsia="標楷體" w:hAnsi="標楷體"/>
                <w:color w:val="000000" w:themeColor="text1"/>
              </w:rPr>
              <w:t>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169" w:rsidRDefault="005C0169" w:rsidP="005C016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69">
              <w:rPr>
                <w:rFonts w:ascii="標楷體" w:eastAsia="標楷體" w:hAnsi="標楷體"/>
                <w:color w:val="000000" w:themeColor="text1"/>
              </w:rPr>
              <w:t>37,080</w:t>
            </w:r>
          </w:p>
          <w:p w:rsidR="005C0169" w:rsidRDefault="005C0169" w:rsidP="005C016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5C0169" w:rsidRPr="00DF6C0D" w:rsidRDefault="005C0169" w:rsidP="005C016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69">
              <w:rPr>
                <w:rFonts w:ascii="標楷體" w:eastAsia="標楷體" w:hAnsi="標楷體"/>
                <w:color w:val="000000" w:themeColor="text1"/>
              </w:rPr>
              <w:t>44,000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169" w:rsidRPr="00DF6C0D" w:rsidRDefault="005C0169" w:rsidP="005C016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法</w:t>
            </w: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04" w:rsidRPr="00476E04" w:rsidRDefault="00476E04" w:rsidP="00476E04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76E04">
              <w:rPr>
                <w:rFonts w:ascii="標楷體" w:eastAsia="標楷體" w:hAnsi="標楷體" w:hint="eastAsia"/>
              </w:rPr>
              <w:t>國內外大學法律相關碩士學位</w:t>
            </w:r>
            <w:r w:rsidR="00FC3F08">
              <w:rPr>
                <w:rFonts w:ascii="標楷體" w:eastAsia="標楷體" w:hAnsi="標楷體" w:hint="eastAsia"/>
              </w:rPr>
              <w:t>。</w:t>
            </w:r>
          </w:p>
          <w:p w:rsidR="00476E04" w:rsidRPr="00476E04" w:rsidRDefault="00476E04" w:rsidP="00476E04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</w:t>
            </w:r>
            <w:r>
              <w:rPr>
                <w:rFonts w:ascii="標楷體" w:eastAsia="標楷體" w:hAnsi="標楷體"/>
              </w:rPr>
              <w:t>分條件：</w:t>
            </w:r>
          </w:p>
          <w:p w:rsidR="00476E04" w:rsidRPr="00476E04" w:rsidRDefault="00476E04" w:rsidP="00476E04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76E04">
              <w:rPr>
                <w:rFonts w:ascii="標楷體" w:eastAsia="標楷體" w:hAnsi="標楷體" w:hint="eastAsia"/>
              </w:rPr>
              <w:t>司法官、</w:t>
            </w:r>
            <w:r w:rsidRPr="00476E04">
              <w:rPr>
                <w:rFonts w:ascii="標楷體" w:eastAsia="標楷體" w:hAnsi="標楷體"/>
              </w:rPr>
              <w:t>軍法官</w:t>
            </w:r>
            <w:r w:rsidRPr="00476E04">
              <w:rPr>
                <w:rFonts w:ascii="標楷體" w:eastAsia="標楷體" w:hAnsi="標楷體" w:hint="eastAsia"/>
              </w:rPr>
              <w:t>或律師高考合格。</w:t>
            </w:r>
          </w:p>
          <w:p w:rsidR="00476E04" w:rsidRPr="00476E04" w:rsidRDefault="00476E04" w:rsidP="00FC3F08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76E04">
              <w:rPr>
                <w:rFonts w:ascii="標楷體" w:eastAsia="標楷體" w:hAnsi="標楷體" w:hint="eastAsia"/>
              </w:rPr>
              <w:t>高考法制、智慧財產行政</w:t>
            </w:r>
            <w:r w:rsidR="00FC3F08">
              <w:rPr>
                <w:rFonts w:ascii="標楷體" w:eastAsia="標楷體" w:hAnsi="標楷體" w:hint="eastAsia"/>
              </w:rPr>
              <w:t>或</w:t>
            </w:r>
            <w:r w:rsidRPr="00476E04">
              <w:rPr>
                <w:rFonts w:ascii="標楷體" w:eastAsia="標楷體" w:hAnsi="標楷體" w:hint="eastAsia"/>
              </w:rPr>
              <w:t>公平交易管理行政等類科。</w:t>
            </w:r>
          </w:p>
          <w:p w:rsidR="00476E04" w:rsidRPr="00476E04" w:rsidRDefault="00476E04" w:rsidP="00476E04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76E04">
              <w:rPr>
                <w:rFonts w:ascii="標楷體" w:eastAsia="標楷體" w:hAnsi="標楷體" w:hint="eastAsia"/>
              </w:rPr>
              <w:t>與擬任職務有關之重要法律實務工作（由本院認定）五年以上。</w:t>
            </w:r>
          </w:p>
          <w:p w:rsidR="00FC3F08" w:rsidRDefault="00FC3F08" w:rsidP="00FC3F08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44D70">
              <w:rPr>
                <w:rFonts w:ascii="標楷體" w:eastAsia="標楷體" w:hAnsi="標楷體" w:hint="eastAsia"/>
              </w:rPr>
              <w:t>熟悉智慧財產權或商事法領域者。</w:t>
            </w:r>
          </w:p>
          <w:p w:rsidR="00476E04" w:rsidRPr="00AB0A6A" w:rsidRDefault="00FC3F08" w:rsidP="00AB0A6A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476E04">
              <w:rPr>
                <w:rFonts w:ascii="標楷體" w:eastAsia="標楷體" w:hAnsi="標楷體" w:hint="eastAsia"/>
              </w:rPr>
              <w:t>熟悉法制作業或法令遵循業務。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8A" w:rsidRPr="0004148A" w:rsidRDefault="005B7D64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>
              <w:rPr>
                <w:rFonts w:ascii="標楷體" w:eastAsia="標楷體" w:hAnsi="標楷體"/>
                <w:color w:val="000000" w:themeColor="text1"/>
              </w:rPr>
              <w:t>理</w:t>
            </w:r>
            <w:r w:rsidR="0004148A" w:rsidRPr="0004148A">
              <w:rPr>
                <w:rFonts w:ascii="標楷體" w:eastAsia="標楷體" w:hAnsi="標楷體" w:hint="eastAsia"/>
                <w:color w:val="000000" w:themeColor="text1"/>
              </w:rPr>
              <w:t>本院法</w:t>
            </w:r>
            <w:r w:rsidR="0004148A" w:rsidRPr="0004148A">
              <w:rPr>
                <w:rFonts w:ascii="標楷體" w:eastAsia="標楷體" w:hAnsi="標楷體" w:hint="eastAsia"/>
              </w:rPr>
              <w:t>規資料庫統整維護作業</w:t>
            </w:r>
            <w:r w:rsidR="0004148A">
              <w:rPr>
                <w:rFonts w:ascii="標楷體" w:eastAsia="標楷體" w:hAnsi="標楷體" w:hint="eastAsia"/>
              </w:rPr>
              <w:t>。</w:t>
            </w:r>
          </w:p>
          <w:p w:rsidR="0004148A" w:rsidRPr="0004148A" w:rsidRDefault="005B7D64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>
              <w:rPr>
                <w:rFonts w:ascii="標楷體" w:eastAsia="標楷體" w:hAnsi="標楷體"/>
                <w:color w:val="000000" w:themeColor="text1"/>
              </w:rPr>
              <w:t>理</w:t>
            </w:r>
            <w:r w:rsidR="0004148A" w:rsidRPr="0004148A">
              <w:rPr>
                <w:rFonts w:ascii="標楷體" w:eastAsia="標楷體" w:hAnsi="標楷體" w:hint="eastAsia"/>
              </w:rPr>
              <w:t>本院智權管理系統資料庫建置作業</w:t>
            </w:r>
            <w:r w:rsidR="0004148A">
              <w:rPr>
                <w:rFonts w:ascii="標楷體" w:eastAsia="標楷體" w:hAnsi="標楷體" w:hint="eastAsia"/>
              </w:rPr>
              <w:t>。</w:t>
            </w:r>
          </w:p>
          <w:p w:rsidR="0004148A" w:rsidRPr="0004148A" w:rsidRDefault="005B7D64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>
              <w:rPr>
                <w:rFonts w:ascii="標楷體" w:eastAsia="標楷體" w:hAnsi="標楷體"/>
                <w:color w:val="000000" w:themeColor="text1"/>
              </w:rPr>
              <w:t>理</w:t>
            </w:r>
            <w:r w:rsidR="0004148A" w:rsidRPr="0004148A">
              <w:rPr>
                <w:rFonts w:ascii="標楷體" w:eastAsia="標楷體" w:hAnsi="標楷體" w:hint="eastAsia"/>
              </w:rPr>
              <w:t>本院法律服務網站統整維護作業</w:t>
            </w:r>
            <w:r w:rsidR="0004148A">
              <w:rPr>
                <w:rFonts w:ascii="標楷體" w:eastAsia="標楷體" w:hAnsi="標楷體" w:hint="eastAsia"/>
              </w:rPr>
              <w:t>。</w:t>
            </w:r>
          </w:p>
          <w:p w:rsidR="0004148A" w:rsidRPr="0004148A" w:rsidRDefault="0004148A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04148A">
              <w:rPr>
                <w:rFonts w:ascii="標楷體" w:eastAsia="標楷體" w:hAnsi="標楷體" w:hint="eastAsia"/>
              </w:rPr>
              <w:t>本院國家賠償事件處理會議秘書業務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4148A" w:rsidRPr="0004148A" w:rsidRDefault="005B7D64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>
              <w:rPr>
                <w:rFonts w:ascii="標楷體" w:eastAsia="標楷體" w:hAnsi="標楷體"/>
                <w:color w:val="000000" w:themeColor="text1"/>
              </w:rPr>
              <w:t>理</w:t>
            </w:r>
            <w:proofErr w:type="gramStart"/>
            <w:r w:rsidR="0004148A" w:rsidRPr="0004148A">
              <w:rPr>
                <w:rFonts w:ascii="標楷體" w:eastAsia="標楷體" w:hAnsi="標楷體" w:hint="eastAsia"/>
              </w:rPr>
              <w:t>法律暨智權</w:t>
            </w:r>
            <w:proofErr w:type="gramEnd"/>
            <w:r w:rsidR="0004148A" w:rsidRPr="0004148A">
              <w:rPr>
                <w:rFonts w:ascii="標楷體" w:eastAsia="標楷體" w:hAnsi="標楷體" w:hint="eastAsia"/>
              </w:rPr>
              <w:t>巡迴教育行政綜合事務</w:t>
            </w:r>
            <w:r w:rsidR="0004148A">
              <w:rPr>
                <w:rFonts w:ascii="標楷體" w:eastAsia="標楷體" w:hAnsi="標楷體" w:hint="eastAsia"/>
              </w:rPr>
              <w:t>。</w:t>
            </w:r>
          </w:p>
          <w:p w:rsidR="0004148A" w:rsidRPr="0004148A" w:rsidRDefault="005B7D64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>
              <w:rPr>
                <w:rFonts w:ascii="標楷體" w:eastAsia="標楷體" w:hAnsi="標楷體"/>
                <w:color w:val="000000" w:themeColor="text1"/>
              </w:rPr>
              <w:t>理</w:t>
            </w:r>
            <w:r w:rsidR="0004148A" w:rsidRPr="0004148A">
              <w:rPr>
                <w:rFonts w:ascii="標楷體" w:eastAsia="標楷體" w:hAnsi="標楷體" w:hint="eastAsia"/>
              </w:rPr>
              <w:t>法律專題講座行政綜合事務</w:t>
            </w:r>
            <w:r w:rsidR="0004148A">
              <w:rPr>
                <w:rFonts w:ascii="標楷體" w:eastAsia="標楷體" w:hAnsi="標楷體" w:hint="eastAsia"/>
              </w:rPr>
              <w:t>。</w:t>
            </w:r>
          </w:p>
          <w:p w:rsidR="0004148A" w:rsidRPr="0004148A" w:rsidRDefault="005B7D64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>
              <w:rPr>
                <w:rFonts w:ascii="標楷體" w:eastAsia="標楷體" w:hAnsi="標楷體"/>
                <w:color w:val="000000" w:themeColor="text1"/>
              </w:rPr>
              <w:t>理</w:t>
            </w:r>
            <w:r w:rsidR="0004148A" w:rsidRPr="0004148A">
              <w:rPr>
                <w:rFonts w:ascii="標楷體" w:eastAsia="標楷體" w:hAnsi="標楷體" w:hint="eastAsia"/>
              </w:rPr>
              <w:t>法律學術研討會行政綜合事務</w:t>
            </w:r>
            <w:r w:rsidR="0004148A">
              <w:rPr>
                <w:rFonts w:ascii="標楷體" w:eastAsia="標楷體" w:hAnsi="標楷體" w:hint="eastAsia"/>
              </w:rPr>
              <w:t>。</w:t>
            </w:r>
          </w:p>
          <w:p w:rsidR="0004148A" w:rsidRPr="0004148A" w:rsidRDefault="005B7D64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>
              <w:rPr>
                <w:rFonts w:ascii="標楷體" w:eastAsia="標楷體" w:hAnsi="標楷體"/>
                <w:color w:val="000000" w:themeColor="text1"/>
              </w:rPr>
              <w:t>理</w:t>
            </w:r>
            <w:r w:rsidR="0004148A" w:rsidRPr="0004148A">
              <w:rPr>
                <w:rFonts w:ascii="標楷體" w:eastAsia="標楷體" w:hAnsi="標楷體" w:hint="eastAsia"/>
              </w:rPr>
              <w:t>智權</w:t>
            </w:r>
            <w:proofErr w:type="gramStart"/>
            <w:r w:rsidR="0004148A" w:rsidRPr="0004148A">
              <w:rPr>
                <w:rFonts w:ascii="標楷體" w:eastAsia="標楷體" w:hAnsi="標楷體" w:hint="eastAsia"/>
              </w:rPr>
              <w:t>業務輔訪行政</w:t>
            </w:r>
            <w:proofErr w:type="gramEnd"/>
            <w:r w:rsidR="0004148A" w:rsidRPr="0004148A">
              <w:rPr>
                <w:rFonts w:ascii="標楷體" w:eastAsia="標楷體" w:hAnsi="標楷體" w:hint="eastAsia"/>
              </w:rPr>
              <w:t>綜合事務</w:t>
            </w:r>
            <w:r w:rsidR="0004148A">
              <w:rPr>
                <w:rFonts w:ascii="標楷體" w:eastAsia="標楷體" w:hAnsi="標楷體" w:hint="eastAsia"/>
              </w:rPr>
              <w:t>。</w:t>
            </w:r>
          </w:p>
          <w:p w:rsidR="005C0169" w:rsidRDefault="005B7D64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>
              <w:rPr>
                <w:rFonts w:ascii="標楷體" w:eastAsia="標楷體" w:hAnsi="標楷體"/>
                <w:color w:val="000000" w:themeColor="text1"/>
              </w:rPr>
              <w:t>理</w:t>
            </w:r>
            <w:r w:rsidR="0004148A" w:rsidRPr="0004148A">
              <w:rPr>
                <w:rFonts w:ascii="標楷體" w:eastAsia="標楷體" w:hAnsi="標楷體" w:hint="eastAsia"/>
              </w:rPr>
              <w:t>債權憑證</w:t>
            </w:r>
            <w:r w:rsidR="0004148A" w:rsidRPr="0004148A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  <w:r w:rsidR="0004148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4148A" w:rsidRPr="0004148A" w:rsidRDefault="0004148A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148A">
              <w:rPr>
                <w:rFonts w:ascii="標楷體" w:eastAsia="標楷體" w:hAnsi="標楷體" w:hint="eastAsia"/>
                <w:color w:val="000000" w:themeColor="text1"/>
              </w:rPr>
              <w:t>其他與法務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行</w:t>
            </w:r>
            <w:r>
              <w:rPr>
                <w:rFonts w:ascii="標楷體" w:eastAsia="標楷體" w:hAnsi="標楷體"/>
                <w:color w:val="000000" w:themeColor="text1"/>
              </w:rPr>
              <w:t>政</w:t>
            </w:r>
            <w:r w:rsidRPr="0004148A">
              <w:rPr>
                <w:rFonts w:ascii="標楷體" w:eastAsia="標楷體" w:hAnsi="標楷體" w:hint="eastAsia"/>
                <w:color w:val="000000" w:themeColor="text1"/>
              </w:rPr>
              <w:t>相關之工作。</w:t>
            </w:r>
          </w:p>
          <w:p w:rsidR="0004148A" w:rsidRPr="00DF6C0D" w:rsidRDefault="0004148A" w:rsidP="0004148A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148A">
              <w:rPr>
                <w:rFonts w:ascii="標楷體" w:eastAsia="標楷體" w:hAnsi="標楷體" w:hint="eastAsia"/>
                <w:color w:val="000000" w:themeColor="text1"/>
              </w:rPr>
              <w:t>其他臨時交辦工作。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69" w:rsidRPr="00DF6C0D" w:rsidRDefault="005C0169" w:rsidP="005C016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69" w:rsidRPr="00DF6C0D" w:rsidRDefault="005C0169" w:rsidP="005C016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5C0169" w:rsidRPr="00DF6C0D" w:rsidRDefault="005C0169" w:rsidP="005C016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69" w:rsidRPr="000B496A" w:rsidRDefault="005C0169" w:rsidP="000B496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0B496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書面審查</w:t>
            </w:r>
            <w:r w:rsidRPr="000B496A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1</w:t>
            </w:r>
            <w:r w:rsidRPr="000B496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5C0169" w:rsidRDefault="005C0169" w:rsidP="000B496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</w:t>
            </w:r>
            <w:r w:rsidRPr="000B496A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7</w:t>
            </w:r>
            <w:r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0分及格)</w:t>
            </w:r>
          </w:p>
          <w:p w:rsidR="0066283F" w:rsidRPr="000B496A" w:rsidRDefault="0066283F" w:rsidP="000B496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5C0169" w:rsidRDefault="005C0169" w:rsidP="000B496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0B496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筆試</w:t>
            </w:r>
            <w:r w:rsidRPr="000B496A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  <w:t>4</w:t>
            </w:r>
            <w:r w:rsidRPr="000B496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0%</w:t>
            </w:r>
          </w:p>
          <w:p w:rsidR="0066283F" w:rsidRPr="000B496A" w:rsidRDefault="0066283F" w:rsidP="000B496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</w:t>
            </w:r>
            <w:r w:rsidRPr="000B496A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7</w:t>
            </w:r>
            <w:r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0分及格，合格者方可參加口試)</w:t>
            </w:r>
          </w:p>
          <w:p w:rsidR="000B496A" w:rsidRPr="000B496A" w:rsidRDefault="000B496A" w:rsidP="000B496A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命題以下列領域之基本概念為考試命題範圍之例示，惟實際試題並不完全以此為限，仍</w:t>
            </w:r>
            <w:proofErr w:type="gramStart"/>
            <w:r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可命擬相關</w:t>
            </w:r>
            <w:proofErr w:type="gramEnd"/>
            <w:r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之綜合性試題</w:t>
            </w:r>
            <w:r w:rsidRPr="000B496A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C0169" w:rsidRPr="000B496A" w:rsidRDefault="000B496A" w:rsidP="000B496A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民</w:t>
            </w:r>
            <w:r>
              <w:rPr>
                <w:rFonts w:ascii="標楷體" w:eastAsia="標楷體" w:hAnsi="標楷體"/>
                <w:sz w:val="22"/>
              </w:rPr>
              <w:t>法、</w:t>
            </w:r>
            <w:r w:rsidR="0004148A" w:rsidRPr="000B496A">
              <w:rPr>
                <w:rFonts w:ascii="標楷體" w:eastAsia="標楷體" w:hAnsi="標楷體" w:hint="eastAsia"/>
                <w:sz w:val="22"/>
              </w:rPr>
              <w:t>行</w:t>
            </w:r>
            <w:r w:rsidR="0004148A" w:rsidRPr="000B496A">
              <w:rPr>
                <w:rFonts w:ascii="標楷體" w:eastAsia="標楷體" w:hAnsi="標楷體"/>
                <w:sz w:val="22"/>
              </w:rPr>
              <w:t>政法</w:t>
            </w:r>
            <w:r w:rsidRPr="000B496A"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行</w:t>
            </w:r>
            <w:r>
              <w:rPr>
                <w:rFonts w:ascii="標楷體" w:eastAsia="標楷體" w:hAnsi="標楷體"/>
                <w:sz w:val="22"/>
              </w:rPr>
              <w:t>政法人法</w:t>
            </w:r>
            <w:r>
              <w:rPr>
                <w:rFonts w:ascii="標楷體" w:eastAsia="標楷體" w:hAnsi="標楷體" w:hint="eastAsia"/>
                <w:sz w:val="22"/>
              </w:rPr>
              <w:t>及</w:t>
            </w:r>
            <w:r w:rsidRPr="000B496A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智慧財產</w:t>
            </w:r>
            <w:r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權法</w:t>
            </w:r>
            <w:r w:rsidR="0066283F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等</w:t>
            </w:r>
            <w:r w:rsidR="0066283F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法規</w:t>
            </w:r>
            <w:r>
              <w:rPr>
                <w:rFonts w:ascii="標楷體" w:eastAsia="標楷體" w:hAnsi="標楷體"/>
                <w:sz w:val="22"/>
              </w:rPr>
              <w:t>概要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="00476E04" w:rsidRPr="000B496A">
              <w:rPr>
                <w:rFonts w:ascii="標楷體" w:eastAsia="標楷體" w:hAnsi="標楷體" w:hint="eastAsia"/>
                <w:sz w:val="22"/>
              </w:rPr>
              <w:t>法制</w:t>
            </w:r>
            <w:r w:rsidR="005B7D64"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作業</w:t>
            </w:r>
            <w:r w:rsidR="00476E04" w:rsidRPr="000B496A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實務</w:t>
            </w:r>
            <w:r w:rsidR="0004148A" w:rsidRPr="000B496A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、</w:t>
            </w:r>
            <w:r w:rsidR="0004148A"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公</w:t>
            </w:r>
            <w:r w:rsidR="0004148A" w:rsidRPr="000B496A"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  <w:t>文書寫作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。</w:t>
            </w:r>
          </w:p>
          <w:p w:rsidR="005C0169" w:rsidRPr="0066283F" w:rsidRDefault="005C0169" w:rsidP="000B496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</w:p>
          <w:p w:rsidR="005C0169" w:rsidRPr="000B496A" w:rsidRDefault="005C0169" w:rsidP="000B496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0B496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</w:rPr>
              <w:t>口試50%</w:t>
            </w:r>
          </w:p>
          <w:p w:rsidR="005C0169" w:rsidRPr="000B496A" w:rsidRDefault="005C0169" w:rsidP="000B496A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0B496A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(70分及格)</w:t>
            </w:r>
          </w:p>
        </w:tc>
      </w:tr>
      <w:tr w:rsidR="005C0169" w:rsidRPr="00DF6C0D" w:rsidTr="003F243A">
        <w:trPr>
          <w:cantSplit/>
          <w:trHeight w:val="768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169" w:rsidRPr="00DF6C0D" w:rsidRDefault="005C0169" w:rsidP="005C0169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合計：行政管理類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員，共計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D807CF" w:rsidRDefault="00D807CF"/>
    <w:p w:rsidR="00D807CF" w:rsidRDefault="00D807CF">
      <w:pPr>
        <w:widowControl/>
      </w:pPr>
      <w:r>
        <w:br w:type="page"/>
      </w:r>
    </w:p>
    <w:p w:rsidR="00D807CF" w:rsidRPr="00D807CF" w:rsidRDefault="00D807CF" w:rsidP="00D807CF">
      <w:pPr>
        <w:spacing w:afterLines="50" w:after="180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Pr="00D807CF">
        <w:rPr>
          <w:rFonts w:ascii="標楷體" w:eastAsia="標楷體" w:hAnsi="標楷體"/>
          <w:color w:val="000000" w:themeColor="text1"/>
          <w:sz w:val="32"/>
          <w:szCs w:val="32"/>
        </w:rPr>
        <w:t>2</w:t>
      </w:r>
    </w:p>
    <w:p w:rsidR="00D807CF" w:rsidRPr="00DF6C0D" w:rsidRDefault="00D807CF" w:rsidP="00D807CF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807CF" w:rsidRPr="00DF6C0D" w:rsidTr="003F243A">
        <w:trPr>
          <w:trHeight w:val="333"/>
          <w:jc w:val="center"/>
        </w:trPr>
        <w:tc>
          <w:tcPr>
            <w:tcW w:w="1003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32"/>
          <w:jc w:val="center"/>
        </w:trPr>
        <w:tc>
          <w:tcPr>
            <w:tcW w:w="2007" w:type="dxa"/>
            <w:gridSpan w:val="2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D807CF" w:rsidRPr="00DF6C0D" w:rsidRDefault="00D807CF" w:rsidP="003F243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248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165"/>
          <w:jc w:val="center"/>
        </w:trPr>
        <w:tc>
          <w:tcPr>
            <w:tcW w:w="10174" w:type="dxa"/>
            <w:gridSpan w:val="16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D807CF" w:rsidRPr="00DF6C0D" w:rsidTr="003F243A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807CF" w:rsidRPr="00DF6C0D" w:rsidTr="003F243A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D807CF" w:rsidRPr="00DF6C0D" w:rsidTr="003F243A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D807CF" w:rsidRPr="00DF6C0D" w:rsidRDefault="00D807CF" w:rsidP="003F243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D807CF" w:rsidRPr="00DF6C0D" w:rsidTr="003F243A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D807CF" w:rsidRPr="00DF6C0D" w:rsidRDefault="00D807CF" w:rsidP="003F243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D807CF" w:rsidRPr="00DF6C0D" w:rsidRDefault="00D807CF" w:rsidP="003F243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D807CF" w:rsidRPr="00DF6C0D" w:rsidRDefault="00D807CF" w:rsidP="003F243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D807CF" w:rsidRPr="00DF6C0D" w:rsidTr="003F243A">
        <w:trPr>
          <w:trHeight w:val="485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85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86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D807CF" w:rsidRPr="00DF6C0D" w:rsidTr="003F243A">
        <w:trPr>
          <w:trHeight w:val="421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5C0169" w:rsidRDefault="00D807C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5C0169" w:rsidRPr="00DF6C0D" w:rsidTr="005C0169">
        <w:trPr>
          <w:trHeight w:val="450"/>
          <w:jc w:val="center"/>
        </w:trPr>
        <w:tc>
          <w:tcPr>
            <w:tcW w:w="10050" w:type="dxa"/>
            <w:vAlign w:val="center"/>
          </w:tcPr>
          <w:p w:rsidR="005C0169" w:rsidRPr="00DF6C0D" w:rsidRDefault="005C0169" w:rsidP="003F243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C0169" w:rsidRPr="00DF6C0D" w:rsidTr="005C0169">
        <w:trPr>
          <w:trHeight w:val="11649"/>
          <w:jc w:val="center"/>
        </w:trPr>
        <w:tc>
          <w:tcPr>
            <w:tcW w:w="10050" w:type="dxa"/>
          </w:tcPr>
          <w:p w:rsidR="005C0169" w:rsidRPr="00DF6C0D" w:rsidRDefault="005C0169" w:rsidP="003F243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C0169" w:rsidRPr="00DF6C0D" w:rsidRDefault="005C0169" w:rsidP="005C0169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5C0169" w:rsidRDefault="005C0169" w:rsidP="005C016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5C0169" w:rsidRPr="00DF6C0D" w:rsidRDefault="005C0169" w:rsidP="005C0169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依報考工作編</w:t>
      </w:r>
      <w:bookmarkStart w:id="0" w:name="_GoBack"/>
      <w:bookmarkEnd w:id="0"/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號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DF6C0D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DF6C0D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5C0169" w:rsidRPr="00DF6C0D" w:rsidRDefault="005C0169" w:rsidP="005C0169">
      <w:pPr>
        <w:numPr>
          <w:ilvl w:val="0"/>
          <w:numId w:val="16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畢業證書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5C0169" w:rsidRPr="00DF6C0D" w:rsidRDefault="005C0169" w:rsidP="005C0169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畢業證書圖檔)</w:t>
      </w:r>
    </w:p>
    <w:p w:rsidR="005C0169" w:rsidRDefault="005C0169" w:rsidP="005C0169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A26E9A" w:rsidRDefault="00A26E9A" w:rsidP="005C0169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A26E9A" w:rsidRDefault="00A26E9A" w:rsidP="005C0169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A26E9A" w:rsidRPr="00DF6C0D" w:rsidRDefault="00A26E9A" w:rsidP="005C0169">
      <w:pPr>
        <w:spacing w:line="400" w:lineRule="exact"/>
        <w:rPr>
          <w:rStyle w:val="txtover1"/>
          <w:rFonts w:ascii="標楷體" w:eastAsia="標楷體" w:hAnsi="標楷體" w:hint="eastAsia"/>
          <w:color w:val="000000" w:themeColor="text1"/>
        </w:rPr>
      </w:pPr>
    </w:p>
    <w:p w:rsidR="005C0169" w:rsidRPr="00DF6C0D" w:rsidRDefault="005C0169" w:rsidP="005C0169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5C0169" w:rsidRPr="00DF6C0D" w:rsidRDefault="005C0169" w:rsidP="005C0169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5C0169" w:rsidRDefault="005C0169" w:rsidP="005C0169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A26E9A" w:rsidRDefault="00A26E9A" w:rsidP="005C0169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A26E9A" w:rsidRDefault="00A26E9A" w:rsidP="005C0169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A26E9A" w:rsidRPr="00DF6C0D" w:rsidRDefault="00A26E9A" w:rsidP="005C0169">
      <w:pPr>
        <w:spacing w:line="400" w:lineRule="exact"/>
        <w:rPr>
          <w:rFonts w:ascii="標楷體" w:eastAsia="標楷體" w:hAnsi="標楷體" w:hint="eastAsia"/>
          <w:color w:val="000000" w:themeColor="text1"/>
        </w:rPr>
      </w:pPr>
    </w:p>
    <w:p w:rsidR="005C0169" w:rsidRPr="00DF6C0D" w:rsidRDefault="005C0169" w:rsidP="005C0169">
      <w:pPr>
        <w:pStyle w:val="a3"/>
        <w:numPr>
          <w:ilvl w:val="0"/>
          <w:numId w:val="1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Fonts w:ascii="標楷體" w:eastAsia="標楷體" w:hAnsi="標楷體" w:hint="eastAsia"/>
          <w:color w:val="000000" w:themeColor="text1"/>
        </w:rPr>
        <w:t>工作經歷證明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5C0169" w:rsidRPr="00DF6C0D" w:rsidRDefault="005C0169" w:rsidP="005C0169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5C0169" w:rsidRDefault="005C0169" w:rsidP="005C016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A26E9A" w:rsidRDefault="00A26E9A" w:rsidP="005C016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A26E9A" w:rsidRDefault="00A26E9A" w:rsidP="005C016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A26E9A" w:rsidRPr="00DF6C0D" w:rsidRDefault="00A26E9A" w:rsidP="005C0169">
      <w:pPr>
        <w:pStyle w:val="a3"/>
        <w:spacing w:line="400" w:lineRule="exact"/>
        <w:ind w:leftChars="0" w:left="0"/>
        <w:rPr>
          <w:rFonts w:ascii="標楷體" w:eastAsia="標楷體" w:hAnsi="標楷體" w:hint="eastAsia"/>
          <w:color w:val="000000" w:themeColor="text1"/>
        </w:rPr>
      </w:pPr>
    </w:p>
    <w:p w:rsidR="005C0169" w:rsidRDefault="005C0169" w:rsidP="00F43103">
      <w:pPr>
        <w:pStyle w:val="a3"/>
        <w:numPr>
          <w:ilvl w:val="0"/>
          <w:numId w:val="16"/>
        </w:numPr>
        <w:spacing w:line="400" w:lineRule="exact"/>
        <w:ind w:leftChars="0"/>
      </w:pPr>
      <w:r w:rsidRPr="00DF6C0D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BD6312" w:rsidRDefault="00BD6312"/>
    <w:p w:rsidR="00A26E9A" w:rsidRDefault="00A26E9A"/>
    <w:p w:rsidR="00A26E9A" w:rsidRDefault="00A26E9A"/>
    <w:p w:rsidR="00A26E9A" w:rsidRPr="00A26E9A" w:rsidRDefault="00A26E9A"/>
    <w:sectPr w:rsidR="00A26E9A" w:rsidRPr="00A26E9A" w:rsidSect="009412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4E" w:rsidRDefault="009D234E" w:rsidP="009D234E">
      <w:r>
        <w:separator/>
      </w:r>
    </w:p>
  </w:endnote>
  <w:endnote w:type="continuationSeparator" w:id="0">
    <w:p w:rsidR="009D234E" w:rsidRDefault="009D234E" w:rsidP="009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4E" w:rsidRPr="009D234E" w:rsidRDefault="009D234E" w:rsidP="009D234E">
    <w:pPr>
      <w:pStyle w:val="a9"/>
      <w:jc w:val="center"/>
    </w:pPr>
    <w:r w:rsidRPr="009D234E">
      <w:rPr>
        <w:rFonts w:ascii="標楷體" w:eastAsia="標楷體" w:hAnsi="標楷體" w:hint="eastAsia"/>
        <w:sz w:val="24"/>
      </w:rPr>
      <w:t>第</w:t>
    </w:r>
    <w:r w:rsidRPr="009D234E">
      <w:rPr>
        <w:rFonts w:ascii="標楷體" w:eastAsia="標楷體" w:hAnsi="標楷體"/>
        <w:sz w:val="24"/>
      </w:rPr>
      <w:fldChar w:fldCharType="begin"/>
    </w:r>
    <w:r w:rsidRPr="009D234E">
      <w:rPr>
        <w:rFonts w:ascii="標楷體" w:eastAsia="標楷體" w:hAnsi="標楷體"/>
        <w:sz w:val="24"/>
      </w:rPr>
      <w:instrText>PAGE   \* MERGEFORMAT</w:instrText>
    </w:r>
    <w:r w:rsidRPr="009D234E">
      <w:rPr>
        <w:rFonts w:ascii="標楷體" w:eastAsia="標楷體" w:hAnsi="標楷體"/>
        <w:sz w:val="24"/>
      </w:rPr>
      <w:fldChar w:fldCharType="separate"/>
    </w:r>
    <w:r w:rsidR="00A26E9A" w:rsidRPr="00A26E9A">
      <w:rPr>
        <w:rFonts w:ascii="標楷體" w:eastAsia="標楷體" w:hAnsi="標楷體"/>
        <w:noProof/>
        <w:sz w:val="24"/>
        <w:lang w:val="zh-TW"/>
      </w:rPr>
      <w:t>9</w:t>
    </w:r>
    <w:r w:rsidRPr="009D234E">
      <w:rPr>
        <w:rFonts w:ascii="標楷體" w:eastAsia="標楷體" w:hAnsi="標楷體"/>
        <w:sz w:val="24"/>
      </w:rPr>
      <w:fldChar w:fldCharType="end"/>
    </w:r>
    <w:r w:rsidRPr="009D234E">
      <w:rPr>
        <w:rFonts w:ascii="標楷體" w:eastAsia="標楷體" w:hAnsi="標楷體" w:hint="eastAsia"/>
        <w:sz w:val="24"/>
      </w:rPr>
      <w:t>頁</w:t>
    </w:r>
    <w:r w:rsidRPr="009D234E">
      <w:rPr>
        <w:rFonts w:ascii="標楷體" w:eastAsia="標楷體" w:hAnsi="標楷體"/>
        <w:sz w:val="24"/>
      </w:rPr>
      <w:t>，共</w:t>
    </w:r>
    <w:r w:rsidRPr="009D234E">
      <w:rPr>
        <w:rFonts w:ascii="標楷體" w:eastAsia="標楷體" w:hAnsi="標楷體"/>
        <w:sz w:val="24"/>
      </w:rPr>
      <w:fldChar w:fldCharType="begin"/>
    </w:r>
    <w:r w:rsidRPr="009D234E">
      <w:rPr>
        <w:rFonts w:ascii="標楷體" w:eastAsia="標楷體" w:hAnsi="標楷體"/>
        <w:sz w:val="24"/>
      </w:rPr>
      <w:instrText xml:space="preserve"> NUMPAGES   \* MERGEFORMAT </w:instrText>
    </w:r>
    <w:r w:rsidRPr="009D234E">
      <w:rPr>
        <w:rFonts w:ascii="標楷體" w:eastAsia="標楷體" w:hAnsi="標楷體"/>
        <w:sz w:val="24"/>
      </w:rPr>
      <w:fldChar w:fldCharType="separate"/>
    </w:r>
    <w:r w:rsidR="00A26E9A">
      <w:rPr>
        <w:rFonts w:ascii="標楷體" w:eastAsia="標楷體" w:hAnsi="標楷體"/>
        <w:noProof/>
        <w:sz w:val="24"/>
      </w:rPr>
      <w:t>9</w:t>
    </w:r>
    <w:r w:rsidRPr="009D234E">
      <w:rPr>
        <w:rFonts w:ascii="標楷體" w:eastAsia="標楷體" w:hAnsi="標楷體"/>
        <w:sz w:val="24"/>
      </w:rPr>
      <w:fldChar w:fldCharType="end"/>
    </w:r>
    <w:r w:rsidRPr="009D234E">
      <w:rPr>
        <w:rFonts w:ascii="標楷體" w:eastAsia="標楷體" w:hAnsi="標楷體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4E" w:rsidRDefault="009D234E" w:rsidP="009D234E">
      <w:r>
        <w:separator/>
      </w:r>
    </w:p>
  </w:footnote>
  <w:footnote w:type="continuationSeparator" w:id="0">
    <w:p w:rsidR="009D234E" w:rsidRDefault="009D234E" w:rsidP="009D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C73"/>
    <w:multiLevelType w:val="hybridMultilevel"/>
    <w:tmpl w:val="21A64DC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82356E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069B7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D6E5E32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59653E4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C73171A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9FC6BB2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FAE6F26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1C042B0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6290C96"/>
    <w:multiLevelType w:val="hybridMultilevel"/>
    <w:tmpl w:val="B5B80036"/>
    <w:lvl w:ilvl="0" w:tplc="0CC2B756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0" w15:restartNumberingAfterBreak="0">
    <w:nsid w:val="441228F5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810536A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C150F2F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405EB"/>
    <w:multiLevelType w:val="hybridMultilevel"/>
    <w:tmpl w:val="0ABC3FA0"/>
    <w:lvl w:ilvl="0" w:tplc="545A96DC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E406D7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DDC7C38"/>
    <w:multiLevelType w:val="hybridMultilevel"/>
    <w:tmpl w:val="6B5ACAE2"/>
    <w:lvl w:ilvl="0" w:tplc="15D01D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17063AC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3697AA7"/>
    <w:multiLevelType w:val="hybridMultilevel"/>
    <w:tmpl w:val="83860BFC"/>
    <w:lvl w:ilvl="0" w:tplc="A7B4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046B4A"/>
    <w:multiLevelType w:val="hybridMultilevel"/>
    <w:tmpl w:val="5518F5AC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18B433E"/>
    <w:multiLevelType w:val="hybridMultilevel"/>
    <w:tmpl w:val="99ACD614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4E5F2A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90204F7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4"/>
  </w:num>
  <w:num w:numId="10">
    <w:abstractNumId w:val="2"/>
  </w:num>
  <w:num w:numId="11">
    <w:abstractNumId w:val="16"/>
  </w:num>
  <w:num w:numId="12">
    <w:abstractNumId w:val="11"/>
  </w:num>
  <w:num w:numId="13">
    <w:abstractNumId w:val="20"/>
  </w:num>
  <w:num w:numId="14">
    <w:abstractNumId w:val="10"/>
  </w:num>
  <w:num w:numId="15">
    <w:abstractNumId w:val="8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1"/>
    <w:rsid w:val="0004148A"/>
    <w:rsid w:val="00041CF5"/>
    <w:rsid w:val="000B496A"/>
    <w:rsid w:val="001A798E"/>
    <w:rsid w:val="00476E04"/>
    <w:rsid w:val="005B7D64"/>
    <w:rsid w:val="005C0169"/>
    <w:rsid w:val="005C1C1D"/>
    <w:rsid w:val="00630153"/>
    <w:rsid w:val="0066283F"/>
    <w:rsid w:val="00941271"/>
    <w:rsid w:val="009D234E"/>
    <w:rsid w:val="00A26E9A"/>
    <w:rsid w:val="00AB0A6A"/>
    <w:rsid w:val="00BD6312"/>
    <w:rsid w:val="00D807CF"/>
    <w:rsid w:val="00F40FA1"/>
    <w:rsid w:val="00F43103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444FF-B609-4B63-AAA7-5A7E6EE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71"/>
    <w:pPr>
      <w:ind w:leftChars="200" w:left="480"/>
    </w:pPr>
  </w:style>
  <w:style w:type="paragraph" w:styleId="a4">
    <w:name w:val="Body Text Indent"/>
    <w:basedOn w:val="a"/>
    <w:link w:val="a5"/>
    <w:rsid w:val="0094127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941271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807C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3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34E"/>
    <w:rPr>
      <w:sz w:val="20"/>
      <w:szCs w:val="20"/>
    </w:rPr>
  </w:style>
  <w:style w:type="character" w:customStyle="1" w:styleId="txtover1">
    <w:name w:val="txt_over1"/>
    <w:rsid w:val="005C0169"/>
    <w:rPr>
      <w:vanish w:val="0"/>
      <w:webHidden w:val="0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AB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603</Words>
  <Characters>3443</Characters>
  <Application>Microsoft Office Word</Application>
  <DocSecurity>0</DocSecurity>
  <Lines>28</Lines>
  <Paragraphs>8</Paragraphs>
  <ScaleCrop>false</ScaleCrop>
  <Company>NCSIST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亓承濬</dc:creator>
  <cp:keywords/>
  <dc:description/>
  <cp:lastModifiedBy>亓承濬</cp:lastModifiedBy>
  <cp:revision>5</cp:revision>
  <cp:lastPrinted>2018-12-26T03:03:00Z</cp:lastPrinted>
  <dcterms:created xsi:type="dcterms:W3CDTF">2018-12-25T08:18:00Z</dcterms:created>
  <dcterms:modified xsi:type="dcterms:W3CDTF">2018-12-26T03:25:00Z</dcterms:modified>
</cp:coreProperties>
</file>